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A6" w:rsidRPr="001F66A6" w:rsidRDefault="001F66A6" w:rsidP="001F66A6">
      <w:pPr>
        <w:spacing w:after="200" w:line="36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6A6">
        <w:rPr>
          <w:rFonts w:ascii="Times New Roman" w:eastAsia="Calibri" w:hAnsi="Times New Roman" w:cs="Times New Roman"/>
          <w:b/>
          <w:sz w:val="24"/>
          <w:szCs w:val="24"/>
        </w:rPr>
        <w:t>WOODEN BREAST: CHEGAMOS AO LIMITE DO CRESCIMENTO DO FRANGO DE CORTE?</w:t>
      </w:r>
    </w:p>
    <w:p w:rsidR="001F66A6" w:rsidRPr="001F66A6" w:rsidRDefault="001F66A6" w:rsidP="001F66A6">
      <w:pPr>
        <w:tabs>
          <w:tab w:val="center" w:pos="4252"/>
          <w:tab w:val="right" w:pos="8789"/>
        </w:tabs>
        <w:spacing w:after="200" w:line="360" w:lineRule="auto"/>
        <w:ind w:left="-284" w:right="-284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ab/>
        <w:t>Andreia Bonavigo</w:t>
      </w:r>
      <w:r w:rsidRPr="001F66A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1F66A6">
        <w:rPr>
          <w:rFonts w:ascii="Times New Roman" w:eastAsia="Calibri" w:hAnsi="Times New Roman" w:cs="Times New Roman"/>
          <w:sz w:val="24"/>
          <w:szCs w:val="24"/>
        </w:rPr>
        <w:t>, Marco Antônio Ebbing</w:t>
      </w:r>
      <w:r w:rsidRPr="001F66A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F66A6">
        <w:rPr>
          <w:rFonts w:ascii="Times New Roman" w:eastAsia="Calibri" w:hAnsi="Times New Roman" w:cs="Times New Roman"/>
          <w:sz w:val="24"/>
          <w:szCs w:val="24"/>
        </w:rPr>
        <w:t>, Patrícia Ebling</w:t>
      </w:r>
      <w:r w:rsidRPr="001F66A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1F66A6" w:rsidRPr="001F66A6" w:rsidRDefault="001F66A6" w:rsidP="001F66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b/>
          <w:sz w:val="24"/>
          <w:szCs w:val="24"/>
        </w:rPr>
        <w:t xml:space="preserve">Palavras-chave: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>, tecido muscular esquelético, desempenho, genética.</w:t>
      </w: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66A6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A melhora no desempenho dos frangos de corte, alcançados pela seleção genética, pela sanidade e pela nutrição, influenciou no aparecimento de alterações musculares. 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que surgiram nos últimos anos foram denominadas 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White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Striping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(WS) e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Wooden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Breast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(WB), devido às características apresentadas pelo músculo do peito. 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White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Striping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caracteriza-se por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estriações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brancas paralelas à fibra muscular, afetando principalmente a região cranial do músculo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pectoralis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major </w:t>
      </w:r>
      <w:r w:rsidRPr="001F66A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Kuttappan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et al., 2013). 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WB é caracterizada por áreas pálidas e com rigidez aumentada, sendo esta desordem restrita ao músculo do peito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Sihvo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2014).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Essas emergentes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não apresentam etiologia conhecida. Frangos selecionados para maior rendimento de peito apresentam maior incidência de WS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Lorenzi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2014), demonstrando que fatores genéticos também são importantes no aparecimento das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. Existe forte componente não genético que influencia o aparecimento das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peitorais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Bailey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2015), sendo o ganho de peso e as dietas com </w:t>
      </w:r>
      <w:r w:rsidR="00E37BBD" w:rsidRPr="001F66A6">
        <w:rPr>
          <w:rFonts w:ascii="Times New Roman" w:eastAsia="Calibri" w:hAnsi="Times New Roman" w:cs="Times New Roman"/>
          <w:sz w:val="24"/>
          <w:szCs w:val="24"/>
        </w:rPr>
        <w:t>maiores densidades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energéticas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Kuttappan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2012) fatores que desencadeiam o processo de ruptura das fibras musculares. </w:t>
      </w:r>
      <w:r w:rsidR="00BA712A">
        <w:rPr>
          <w:rFonts w:ascii="Times New Roman" w:eastAsia="Calibri" w:hAnsi="Times New Roman" w:cs="Times New Roman"/>
          <w:sz w:val="24"/>
          <w:szCs w:val="24"/>
        </w:rPr>
        <w:t xml:space="preserve">O objetivo do presente trabalho é o esclarecimento desta </w:t>
      </w:r>
      <w:proofErr w:type="spellStart"/>
      <w:r w:rsidR="00BA712A">
        <w:rPr>
          <w:rFonts w:ascii="Times New Roman" w:eastAsia="Calibri" w:hAnsi="Times New Roman" w:cs="Times New Roman"/>
          <w:sz w:val="24"/>
          <w:szCs w:val="24"/>
        </w:rPr>
        <w:t>miopatia</w:t>
      </w:r>
      <w:proofErr w:type="spellEnd"/>
      <w:r w:rsidR="00BA712A">
        <w:rPr>
          <w:rFonts w:ascii="Times New Roman" w:eastAsia="Calibri" w:hAnsi="Times New Roman" w:cs="Times New Roman"/>
          <w:sz w:val="24"/>
          <w:szCs w:val="24"/>
        </w:rPr>
        <w:t xml:space="preserve"> que é uma importante alteração muscular que acomete o frango de </w:t>
      </w:r>
      <w:r w:rsidR="00E37BBD">
        <w:rPr>
          <w:rFonts w:ascii="Times New Roman" w:eastAsia="Calibri" w:hAnsi="Times New Roman" w:cs="Times New Roman"/>
          <w:sz w:val="24"/>
          <w:szCs w:val="24"/>
        </w:rPr>
        <w:t>corte, sendo</w:t>
      </w:r>
      <w:r w:rsidR="00BA712A">
        <w:rPr>
          <w:rFonts w:ascii="Times New Roman" w:eastAsia="Calibri" w:hAnsi="Times New Roman" w:cs="Times New Roman"/>
          <w:sz w:val="24"/>
          <w:szCs w:val="24"/>
        </w:rPr>
        <w:t xml:space="preserve"> que há poucas </w:t>
      </w:r>
      <w:r w:rsidR="00E37BBD">
        <w:rPr>
          <w:rFonts w:ascii="Times New Roman" w:eastAsia="Calibri" w:hAnsi="Times New Roman" w:cs="Times New Roman"/>
          <w:sz w:val="24"/>
          <w:szCs w:val="24"/>
        </w:rPr>
        <w:t>informações e estudos quanto a sua etiologia.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>REVISÃO BIBLIOGRÁFICA</w:t>
      </w: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indústria avícola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Nas últimas décadas, a indústria avícola passou por mudanças significativas nas áreas de nutrição, genética e sanidade. De 1957 a 2005, houve aumento de 400% no crescimento de frangos de corte e redução de 50% na conversão alimentar. Neste mesmo período, houve o incremento de 79% e de 85% no músculo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pectoralis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major </w:t>
      </w:r>
      <w:r w:rsidRPr="001F66A6">
        <w:rPr>
          <w:rFonts w:ascii="Times New Roman" w:eastAsia="Calibri" w:hAnsi="Times New Roman" w:cs="Times New Roman"/>
          <w:sz w:val="24"/>
          <w:szCs w:val="24"/>
        </w:rPr>
        <w:t>(músculo peitoral) de machos e de fêmeas, respectivamente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Zuidhof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>, 2014). Esses dados vão ao encontro da produção brasileira de carne de frango que passou de 5,98 milhões de toneladas em 2000 para 12,69 milhões em 2014. Esse crescimento deve-se ao aumento de consumo pela população mundial, pois a carne de frango é vista como saudável, com boas qualidades sensoriais, de fácil preparo e de menor custo em comparação às demais proteínas animais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Petracci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2015).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Segundo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Branciari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 xml:space="preserve">et al.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(2009), as aves selecionadas nos programas de melhoramento genético apresentam um maior diâmetro da fibra muscular; no entanto, este aumento é associado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menor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capilarização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da estrutura muscular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Hoving-Bolink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2000). Essa diminuição pode ocasionar o acúmulo de resíduos metabólicos e, como consequência, danos ao tecido devido ao estresse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oxidativo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. Em perus, há indícios de danos musculares relacionados à isquemia,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esta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vinculada ao rápido ganho de peso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Sosnicki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et al., 1991).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Em consequência do aumento da hipertrofia das células musculares, a incidência de anormalidades, como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peitoral profunda (MPP) e pálida, macia e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exsudativa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(PSE-</w:t>
      </w:r>
      <w:proofErr w:type="spellStart"/>
      <w:r w:rsidRPr="001F66A6">
        <w:rPr>
          <w:rFonts w:ascii="Times New Roman" w:eastAsia="Calibri" w:hAnsi="Times New Roman" w:cs="Times New Roman"/>
          <w:i/>
          <w:sz w:val="24"/>
          <w:szCs w:val="24"/>
        </w:rPr>
        <w:t>like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>), aumentou nos últimos 30 anos e, mais recentemente, WS e WB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Petracci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2015). A MPP foi umas das primeiras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a serem descritas, porém continua sendo um problema de qualidade recorrente nas plantas frigoríficas. 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denominada PSE-</w:t>
      </w:r>
      <w:proofErr w:type="spellStart"/>
      <w:r w:rsidRPr="001F66A6">
        <w:rPr>
          <w:rFonts w:ascii="Times New Roman" w:eastAsia="Calibri" w:hAnsi="Times New Roman" w:cs="Times New Roman"/>
          <w:i/>
          <w:sz w:val="24"/>
          <w:szCs w:val="24"/>
        </w:rPr>
        <w:t>like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reduz a habilidade da carne em reter a água durante o processamento e estocagem do produto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Petracci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Cavani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2012).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Nos últimos anos, duas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emergentes chamaram atenção da indústria avícola. 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White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Striping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e WB acometem o músculo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pectoralis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major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e são caracterizadas pela alta prevalência em grande parte das aves presentes nos lotes.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Kuttappan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. (2009) descreveram, pela primeira vez, 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WS, suas características histológicas e a influência desta desordem na qualidade da carne. 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denominada WB foi descrita por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Sihvo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 xml:space="preserve">et al.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(2014) como um novo tipo de defeito do músculo peitoral ocorrido na Finlândia e em diversos outros países.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Estrutura e regeneração do tecido muscular esquelético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 músculo esquelético é formado por diversos feixes de fibras cilíndricas revestidos pelo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epimísio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. Os feixes musculares são separados entre si pelo perimísio, membrana de tecido conjuntivo que os mantém organizados. Dentro dos feixes, são encontradas as fibras musculares, separadas entre si pelo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endomísio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 formadas por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miofibrilas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compostas, principalmente, por duas proteínas: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actina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 miosina (Junqueira &amp; Carneiro, 2004). Essas proteínas formam os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sarcômeros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os quais se repetem diversas vezes ao longo da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miofibrila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. Eles são responsáveis pela contração da fibra muscular através do deslizamento dos filamentos de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actina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sobre os de miosina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Galluzzo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Regenstein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1978).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O tecido conjuntivo é formado por inúmeras células com funções de conexão de tecidos, de sustentação e de preenchimento (Junqueira &amp; Carneiro, 2004). Os fibroblastos são as células mais abundantes do tecido conjuntivo e possuem a função de sintetizar as fibras colágenas, as fibras elásticas e a substância fundamental (Junqueira &amp; Carneiro, 2004). Após a influência dos fatores de crescimento e de outros mediadores, produzidos principalmente pelos macrófagos, os fibroblastos são ativados e iniciam a produção de colágeno, processo denominado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fibroplasia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(Balbino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2005).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O músculo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esqueletético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quando lesionado, apresenta capacidade de regeneração, porém, quando ocorre uma destruição celular de maior proporção, é possível observar proliferação de tecido conjuntivo (Gomes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2004). As células inflamatórias, principalmente os macrófagos, são fundamentais na regulação da homeostase do tecido. Eles são indispensáveis para o controle de danos e a remodelação do tecido sobre as lesões musculares (Mann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>, 2011). Entretanto, quando a área muscular é substituída pelo tecido fibroso, ocorre uma inibição da regeneração completa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Kaariainen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>, 2000). Após a degeneração da fibra, ocorre a revascularização e células inflamatórias são ativadas para a retirada do tecido necrótico e a ativação das células satélites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Philippou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2007). A formação de tecido conjuntivo de cicatrização é necessária para manter as extremidades das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miofribrilas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ligadas, prevenindo que a ruptura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</w:rPr>
        <w:t>mantenha-as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dividas em duas partes por um período longo de tempo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Kaariainen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2000).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Embora o fibroblasto seja necessário e fundamental para a homeostase dos tecidos e para a reparação de feridas, é um intermediário fundamental para doenças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fibróticas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crônicas, nas quais a inflamação persistente provoca atividade desregulada dos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fribroblastos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(Mann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>, 2011). Além deles, quando ocorre falha na regeneração muscular, a cicatrização é infiltrada por adipócitos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Natajaran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2010).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Características da </w:t>
      </w:r>
      <w:proofErr w:type="spellStart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>miopatia</w:t>
      </w:r>
      <w:proofErr w:type="spellEnd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66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Wooden</w:t>
      </w:r>
      <w:proofErr w:type="spellEnd"/>
      <w:r w:rsidRPr="001F66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F66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Breast</w:t>
      </w:r>
      <w:proofErr w:type="spellEnd"/>
      <w:r w:rsidRPr="001F66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Nos últimos anos, foi descrito uma nova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miopatia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associado à qualidade da carne de peito, chamada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W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ooden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Breast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ou peito amadeirado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. Estas alterações estão restritas ao músculo </w:t>
      </w:r>
      <w:proofErr w:type="spellStart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pectoralis</w:t>
      </w:r>
      <w:proofErr w:type="spellEnd"/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major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e são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catacterizadas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por áreas pálidas e com rigidez aumentada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Sihvo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>, 2014). A lesão é detectada manualmente, por meio da palpação, e acomete as aves a partir de 3 semanas de idade, podendo afetar mais de 50% de um lote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Mutryn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2015). Macroscopicamente, pode-se observar extensa área pálida, rígida e com ondulações. Material viscoso com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petéquias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ou pequenas hemorragias podem ser encontrada em graus mais severos de WS, concomitante com lesões de WS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Sihvo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2014). Observa-se degeneração multifocal e necrose caracterizadas pela perda das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estriações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 por ser infiltrado de células inflamatórias, principalmente macrófagos e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heterófilos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>. As áreas afetadas apresentam espessamento difuso do interstício com quantidade variada de tecido conjuntivo, tecido de granulação ou fibrose separando as fibras musculares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Sihvo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2014). </w:t>
      </w:r>
    </w:p>
    <w:p w:rsidR="001F66A6" w:rsidRPr="001F66A6" w:rsidRDefault="001F66A6" w:rsidP="003C5F48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A prevalência e etiologia da WB ainda são pouco conhecidas. Há indícios de maior expressão gênica à hipóxia e ao estresse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oxidativo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em aves acometidas, porém não está claro se é primária ou secundária à doença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Mutryn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2015). Neste contexto, estudos demonstram a mudança no metabolismo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glicolítico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de aves selecionadas geneticamente para ganho de peso, através da diminuição da capilaridade em relação ao número de fibras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Sosnicki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&amp; Wilson, 1991). Segundo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Mudalal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 xml:space="preserve">et al. 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(2015), a seleção genética para ganho de peso e para rendimento de peito é a hipótese com maior suporte e os fatores que apresentam maior influência no aparecimento dessa anormalidade. </w:t>
      </w:r>
    </w:p>
    <w:p w:rsidR="001F66A6" w:rsidRPr="001F66A6" w:rsidRDefault="001F66A6" w:rsidP="003C5F4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>Além da aparência e da coloração da carne, a WB afeta a qualidade da carne refrigerada. A carne de peito se apresenta endurecida, com diminuição na absorção de salmoura e maior perda por cocção que peitos afetados por WB ou normais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Mudadal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</w:t>
      </w:r>
      <w:r w:rsidRPr="001F66A6">
        <w:rPr>
          <w:rFonts w:ascii="Times New Roman" w:eastAsia="Calibri" w:hAnsi="Times New Roman" w:cs="Times New Roman"/>
          <w:sz w:val="24"/>
          <w:szCs w:val="24"/>
        </w:rPr>
        <w:t>., 2015). O fator principal na redução da qualidade é a diminuição da capacidade de reter água presente nessas amostras (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Mudalal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6A6">
        <w:rPr>
          <w:rFonts w:ascii="Times New Roman" w:eastAsia="Calibri" w:hAnsi="Times New Roman" w:cs="Times New Roman"/>
          <w:iCs/>
          <w:sz w:val="24"/>
          <w:szCs w:val="24"/>
        </w:rPr>
        <w:t>et al</w:t>
      </w:r>
      <w:r w:rsidRPr="001F66A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, 2015). </w:t>
      </w:r>
    </w:p>
    <w:p w:rsidR="001F66A6" w:rsidRPr="001F66A6" w:rsidRDefault="001F66A6" w:rsidP="003C5F4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CONSIDERAÇÕES FINAIS </w:t>
      </w: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ab/>
      </w:r>
      <w:r w:rsidRPr="001F66A6">
        <w:rPr>
          <w:rFonts w:ascii="Times New Roman" w:eastAsia="Calibri" w:hAnsi="Times New Roman" w:cs="Times New Roman"/>
          <w:sz w:val="24"/>
          <w:szCs w:val="24"/>
        </w:rPr>
        <w:tab/>
        <w:t xml:space="preserve">A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Wooden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Breast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(peito amadeirado) é certamente a mais importante alteração muscular que acomete o frango de corte atualmente, dessa forma de grande importância para a indústria avícola. Como é uma alteração recentemente descrita, ainda há poucas informações consistentes que esclareçam a sua etiologia. Porém o que há de importante é que ainda não foi constatado nenhum acometimento que possa impossibilitar </w:t>
      </w:r>
      <w:r w:rsidRPr="001F66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 consumo deste corte. É notória a necessidade da condução de mais ensaios nas áreas de nutrição, genética, sanidade que possam elucidar e propor soluções para a demanda, possibilitando que a avicultura continue sendo atividade rentável e comprometida com o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</w:rPr>
        <w:t>bem estar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 das aves.</w:t>
      </w:r>
    </w:p>
    <w:p w:rsidR="001F66A6" w:rsidRPr="001F66A6" w:rsidRDefault="001F66A6" w:rsidP="001F66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REFERÊNCIAS BIBLIOGRÁFICAS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6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BAILEY, R. A.; WATSON, K. A.; BILGILI, S. F.; AVENDANO, S. The genetic basis of pectoralis major myopathies in modern broiler chicken lines. </w:t>
      </w:r>
      <w:proofErr w:type="spellStart"/>
      <w:r w:rsidRPr="001F66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Poultry</w:t>
      </w:r>
      <w:proofErr w:type="spellEnd"/>
      <w:r w:rsidRPr="001F66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Science, </w:t>
      </w:r>
      <w:proofErr w:type="spellStart"/>
      <w:r w:rsidRPr="001F66A6">
        <w:rPr>
          <w:rFonts w:ascii="Times New Roman" w:eastAsia="Calibri" w:hAnsi="Times New Roman" w:cs="Times New Roman"/>
          <w:color w:val="000000"/>
          <w:sz w:val="24"/>
          <w:szCs w:val="24"/>
        </w:rPr>
        <w:t>Champaign</w:t>
      </w:r>
      <w:proofErr w:type="spellEnd"/>
      <w:r w:rsidRPr="001F66A6">
        <w:rPr>
          <w:rFonts w:ascii="Times New Roman" w:eastAsia="Calibri" w:hAnsi="Times New Roman" w:cs="Times New Roman"/>
          <w:color w:val="000000"/>
          <w:sz w:val="24"/>
          <w:szCs w:val="24"/>
        </w:rPr>
        <w:t>, v. 94, p. 2870-2879, 2015.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6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BALBINO, C. A.; PEREIRA, L. M.; CURI, R. Mecanismos envolvidos na cicatrização: uma revisão. </w:t>
      </w:r>
      <w:r w:rsidRPr="001F66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Revista Brasileira de Ciências Farmacêuticas, </w:t>
      </w:r>
      <w:r w:rsidRPr="001F66A6">
        <w:rPr>
          <w:rFonts w:ascii="Times New Roman" w:eastAsia="Calibri" w:hAnsi="Times New Roman" w:cs="Times New Roman"/>
          <w:color w:val="000000"/>
          <w:sz w:val="24"/>
          <w:szCs w:val="24"/>
        </w:rPr>
        <w:t>São Paulo, v. 41, p. 27-51, 2005.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BRANCIARI, R. et al. </w:t>
      </w:r>
      <w:r w:rsidRPr="001F66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Effect of genotype and rearing system on chicken behavior and muscle fiber characteristics. </w:t>
      </w:r>
      <w:r w:rsidRPr="001F66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Journal of Animal Science, </w:t>
      </w:r>
      <w:r w:rsidRPr="001F66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Champaign, v. 87, p. 4109-4117, 2009.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GALLUZZO, S. J.; REGENSTEIN, J. M. Role of chicken breast muscle proteins in meat emulsion formation: Myosin, actin and synthetic </w:t>
      </w:r>
      <w:proofErr w:type="spellStart"/>
      <w:r w:rsidRPr="001F66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actomyosin</w:t>
      </w:r>
      <w:proofErr w:type="spellEnd"/>
      <w:r w:rsidRPr="001F66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F66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In</w:t>
      </w:r>
      <w:bookmarkStart w:id="0" w:name="_GoBack"/>
      <w:bookmarkEnd w:id="0"/>
      <w:r w:rsidRPr="001F66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stitute of Food Technologists, </w:t>
      </w:r>
      <w:r w:rsidRPr="001F66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v. 43, p. 1761-1765, 1978.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GOMES, A. R. S. et al.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Effect of one stretch a week applied to the immobilized soleus muscle on rat muscle fiber morphology.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Brazilian Journal of Medical and Biological Research,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Ribeirão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Preto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, v. 37, p. 1473-1480, 2004.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HOVING-BOLINK, A. H. et al.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Fibre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area and capillary supply in broiler breast muscle in relation to productivity and ascites. </w:t>
      </w:r>
      <w:proofErr w:type="spellStart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>Meat</w:t>
      </w:r>
      <w:proofErr w:type="spellEnd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Science, </w:t>
      </w:r>
      <w:r w:rsidRPr="001F66A6">
        <w:rPr>
          <w:rFonts w:ascii="Times New Roman" w:eastAsia="Calibri" w:hAnsi="Times New Roman" w:cs="Times New Roman"/>
          <w:sz w:val="24"/>
          <w:szCs w:val="24"/>
        </w:rPr>
        <w:t>Oxford, v. 56, p. 397-402, 2000.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JUNQUEIRA, L. C.; CARNEIRO, J.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>Histologia básica</w:t>
      </w:r>
      <w:r w:rsidRPr="001F66A6">
        <w:rPr>
          <w:rFonts w:ascii="Times New Roman" w:eastAsia="Calibri" w:hAnsi="Times New Roman" w:cs="Times New Roman"/>
          <w:sz w:val="24"/>
          <w:szCs w:val="24"/>
        </w:rPr>
        <w:t>. 10. Rio de Janeiro: 2004.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</w:rPr>
        <w:t xml:space="preserve">KAARIAINEN, M. et al.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Relation between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myofibers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connective tissue during muscle injury repair.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Sc</w:t>
      </w:r>
      <w:r w:rsidR="003C5F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andinavian Journal of Medicine and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Science in Sports,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Copenhague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, v. 10, p. 332-337, 2000.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KUTTAPPAN, V. A. et al. Influence of growth rate on the occurrence of white striping in broiler breast fillets.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Poultry Science,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Champaign, v. 91, n. 10, p. 2677-2685, 2012.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KUTTAPPAN, V. A. et al. Estimation of factors associated with the occurrence of white striping in broiler breast fillets.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Poultry Science,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Champaign, v. 92, n. 3, p. 811-819, 2013.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LORENZI, M. et al. Incidence of white striping under commercial conditions in medium and heavy broiler chickens in Italy.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Journal Applied Poultry Research,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Athens, v. 23, n.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, p. 754-758, 2014.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MANN, C. J. et al. Aberrant repair and fibrosis development in skeletal muscle.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Skeletal Muscle,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v.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, p. 21, 2011. 51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MUDALAL, S. et al. Implications of white striping and wooden breast abnormalities on quality traits of raw and marinated chicken meat.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Animal,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Cambridge, v.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, n. 4, p. 728-34, 2015.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MUTRYN, M. F. et al. Characterization of a novel chicken muscle disorder through differential gene expression and pathway analysis using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RNA-sequencing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BMC Genomics,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London, v. 16, n. 1, p. 1-19, 2015.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NATAJARAN, A.; LEMOS, D. R.; ROSSI, F. M. Fibro/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adipogenic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progenitors: A double-edged sword in skeletal muscle regeneration.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Cell Cycle,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Georgetown, v. 9, n.11, p. 2045-2046, 2010.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PETRACCI, M.; CAVANI, C. Muscle growth and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poultry meat quality issues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Nutrients,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Basel, v.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, n. 1, p. 1-12, 2012.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PETRACCI, M. et al. Meat quality in fast-growing broiler chickens.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World’s Poultry Science Journal,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Ithaca, v. 71, n. 02, p. 363-374, 2015.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PHILIPPOU, A. et al. Type I insulin-like growth factor receptor signaling in skeletal muscle regeneration and hypertrophy.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Journal of </w:t>
      </w:r>
      <w:proofErr w:type="spellStart"/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Musculoskelet</w:t>
      </w:r>
      <w:proofErr w:type="spellEnd"/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Neuronal Interact,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Kifissia, v. </w:t>
      </w:r>
      <w:proofErr w:type="gram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proofErr w:type="gram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, n.3, p. 208-218, 2007. 52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SIHVO, H. K.; IMMONEN, K.; PUOLANNE, E.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>Myodegeneration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fibrosis and regeneration in the pectoralis major muscle of broilers.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Veterinary Pathology,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Basel, v. 51, n. 3, p. 619-623, 2014. 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SOSNICKI, A. A.; WILSON, B. W. Pathology of turkey skeletal muscle: Implications for the poultry. </w:t>
      </w:r>
      <w:r w:rsidRPr="001F66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Food Structure, </w:t>
      </w: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Chicago, v. 10, p. 317-326, 1991. </w:t>
      </w:r>
    </w:p>
    <w:p w:rsidR="001F66A6" w:rsidRPr="001F66A6" w:rsidRDefault="001F66A6" w:rsidP="003C5F4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6A6" w:rsidRPr="001F66A6" w:rsidRDefault="001F66A6" w:rsidP="003C5F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66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ZUIDHOF, M. J. et al. Growth, efficiency, and yield of commercial broilers from 1957, 1978, and 2005. </w:t>
      </w:r>
      <w:proofErr w:type="spellStart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>Poultry</w:t>
      </w:r>
      <w:proofErr w:type="spellEnd"/>
      <w:r w:rsidRPr="001F6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Science, </w:t>
      </w:r>
      <w:proofErr w:type="spellStart"/>
      <w:r w:rsidRPr="001F66A6">
        <w:rPr>
          <w:rFonts w:ascii="Times New Roman" w:eastAsia="Calibri" w:hAnsi="Times New Roman" w:cs="Times New Roman"/>
          <w:sz w:val="24"/>
          <w:szCs w:val="24"/>
        </w:rPr>
        <w:t>Champaign</w:t>
      </w:r>
      <w:proofErr w:type="spellEnd"/>
      <w:r w:rsidRPr="001F66A6">
        <w:rPr>
          <w:rFonts w:ascii="Times New Roman" w:eastAsia="Calibri" w:hAnsi="Times New Roman" w:cs="Times New Roman"/>
          <w:sz w:val="24"/>
          <w:szCs w:val="24"/>
        </w:rPr>
        <w:t>, v. 93, n. 12, p. 2970-2982, 2014.</w:t>
      </w:r>
    </w:p>
    <w:p w:rsidR="00B26B86" w:rsidRPr="006D5E7C" w:rsidRDefault="00B26B86" w:rsidP="006D5E7C"/>
    <w:sectPr w:rsidR="00B26B86" w:rsidRPr="006D5E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BA" w:rsidRDefault="00F475BA" w:rsidP="00074C76">
      <w:pPr>
        <w:spacing w:after="0" w:line="240" w:lineRule="auto"/>
      </w:pPr>
      <w:r>
        <w:separator/>
      </w:r>
    </w:p>
  </w:endnote>
  <w:endnote w:type="continuationSeparator" w:id="0">
    <w:p w:rsidR="00F475BA" w:rsidRDefault="00F475BA" w:rsidP="0007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BA" w:rsidRDefault="00F475BA" w:rsidP="00074C76">
      <w:pPr>
        <w:spacing w:after="0" w:line="240" w:lineRule="auto"/>
      </w:pPr>
      <w:r>
        <w:separator/>
      </w:r>
    </w:p>
  </w:footnote>
  <w:footnote w:type="continuationSeparator" w:id="0">
    <w:p w:rsidR="00F475BA" w:rsidRDefault="00F475BA" w:rsidP="00074C76">
      <w:pPr>
        <w:spacing w:after="0" w:line="240" w:lineRule="auto"/>
      </w:pPr>
      <w:r>
        <w:continuationSeparator/>
      </w:r>
    </w:p>
  </w:footnote>
  <w:footnote w:id="1">
    <w:p w:rsidR="001F66A6" w:rsidRPr="009C7A00" w:rsidRDefault="001F66A6" w:rsidP="001F66A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9C7A0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9C7A00">
        <w:rPr>
          <w:rFonts w:ascii="Times New Roman" w:hAnsi="Times New Roman" w:cs="Times New Roman"/>
          <w:sz w:val="20"/>
          <w:szCs w:val="20"/>
        </w:rPr>
        <w:t>Graduanda em Medicina Veterinária,</w:t>
      </w:r>
      <w:r>
        <w:rPr>
          <w:rFonts w:ascii="Times New Roman" w:hAnsi="Times New Roman" w:cs="Times New Roman"/>
          <w:sz w:val="20"/>
          <w:szCs w:val="20"/>
        </w:rPr>
        <w:t xml:space="preserve"> FAI – Faculdades de </w:t>
      </w:r>
      <w:proofErr w:type="spellStart"/>
      <w:r>
        <w:rPr>
          <w:rFonts w:ascii="Times New Roman" w:hAnsi="Times New Roman" w:cs="Times New Roman"/>
          <w:sz w:val="20"/>
          <w:szCs w:val="20"/>
        </w:rPr>
        <w:t>Itapiranga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9B59F3">
        <w:rPr>
          <w:rFonts w:ascii="Times New Roman" w:hAnsi="Times New Roman" w:cs="Times New Roman"/>
          <w:sz w:val="20"/>
          <w:szCs w:val="20"/>
        </w:rPr>
        <w:t>andreia_969@hotmail.com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F66A6" w:rsidRPr="009C7A00" w:rsidRDefault="001F66A6" w:rsidP="001F66A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9C7A0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C7A00">
        <w:rPr>
          <w:rFonts w:ascii="Times New Roman" w:hAnsi="Times New Roman" w:cs="Times New Roman"/>
          <w:sz w:val="20"/>
          <w:szCs w:val="20"/>
        </w:rPr>
        <w:t>Médico Veterinário, Mestre em Zootecnia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9B59F3">
        <w:t xml:space="preserve"> </w:t>
      </w:r>
      <w:proofErr w:type="gramStart"/>
      <w:r w:rsidRPr="009B59F3">
        <w:rPr>
          <w:rFonts w:ascii="Times New Roman" w:hAnsi="Times New Roman" w:cs="Times New Roman"/>
          <w:sz w:val="20"/>
          <w:szCs w:val="20"/>
        </w:rPr>
        <w:t>marcoantonioebbing@gmail.com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F66A6" w:rsidRPr="009C7A00" w:rsidRDefault="001F66A6" w:rsidP="001F66A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9C7A0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C7A00">
        <w:rPr>
          <w:rFonts w:ascii="Times New Roman" w:hAnsi="Times New Roman" w:cs="Times New Roman"/>
          <w:sz w:val="20"/>
          <w:szCs w:val="20"/>
        </w:rPr>
        <w:t>Zootecnista, Doutora em Zootecnia, professora da</w:t>
      </w:r>
      <w:r>
        <w:rPr>
          <w:rFonts w:ascii="Times New Roman" w:hAnsi="Times New Roman" w:cs="Times New Roman"/>
          <w:sz w:val="20"/>
          <w:szCs w:val="20"/>
        </w:rPr>
        <w:t xml:space="preserve"> FAI – Faculdades de </w:t>
      </w:r>
      <w:proofErr w:type="spellStart"/>
      <w:r>
        <w:rPr>
          <w:rFonts w:ascii="Times New Roman" w:hAnsi="Times New Roman" w:cs="Times New Roman"/>
          <w:sz w:val="20"/>
          <w:szCs w:val="20"/>
        </w:rPr>
        <w:t>Itapiranga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593892">
        <w:rPr>
          <w:rFonts w:ascii="Times New Roman" w:hAnsi="Times New Roman" w:cs="Times New Roman"/>
          <w:sz w:val="20"/>
          <w:szCs w:val="20"/>
        </w:rPr>
        <w:t>patricia.vet@seifai.edu.br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F66A6" w:rsidRDefault="001F66A6" w:rsidP="001F66A6">
      <w:pPr>
        <w:pStyle w:val="Textodenotaderodap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76" w:rsidRDefault="000E12A9">
    <w:pPr>
      <w:pStyle w:val="Cabealho"/>
    </w:pPr>
    <w:r w:rsidRPr="000E12A9">
      <w:rPr>
        <w:noProof/>
        <w:lang w:eastAsia="pt-BR"/>
      </w:rPr>
      <w:drawing>
        <wp:inline distT="0" distB="0" distL="0" distR="0">
          <wp:extent cx="5400040" cy="449404"/>
          <wp:effectExtent l="0" t="0" r="0" b="8255"/>
          <wp:docPr id="2" name="Imagem 2" descr="D:\OwnCloud\Públicos\Timbrados - não excluir\imagens\agro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Públicos\Timbrados - não excluir\imagens\agrot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80C"/>
    <w:multiLevelType w:val="hybridMultilevel"/>
    <w:tmpl w:val="7C1EF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315798"/>
    <w:multiLevelType w:val="hybridMultilevel"/>
    <w:tmpl w:val="70584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76"/>
    <w:rsid w:val="00074C76"/>
    <w:rsid w:val="0008559A"/>
    <w:rsid w:val="000E12A9"/>
    <w:rsid w:val="001F66A6"/>
    <w:rsid w:val="003047EF"/>
    <w:rsid w:val="003C5F48"/>
    <w:rsid w:val="00505A73"/>
    <w:rsid w:val="0067778A"/>
    <w:rsid w:val="006D5E7C"/>
    <w:rsid w:val="00877396"/>
    <w:rsid w:val="0088680A"/>
    <w:rsid w:val="00973AC3"/>
    <w:rsid w:val="00B26B86"/>
    <w:rsid w:val="00BA712A"/>
    <w:rsid w:val="00BA7E07"/>
    <w:rsid w:val="00BB2BA0"/>
    <w:rsid w:val="00D14380"/>
    <w:rsid w:val="00E37BBD"/>
    <w:rsid w:val="00F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DD8B10-AB68-4BB2-BE14-36042BA3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C76"/>
  </w:style>
  <w:style w:type="paragraph" w:styleId="Rodap">
    <w:name w:val="footer"/>
    <w:basedOn w:val="Normal"/>
    <w:link w:val="Rodap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C76"/>
  </w:style>
  <w:style w:type="paragraph" w:styleId="PargrafodaLista">
    <w:name w:val="List Paragraph"/>
    <w:basedOn w:val="Normal"/>
    <w:uiPriority w:val="34"/>
    <w:qFormat/>
    <w:rsid w:val="00B26B8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Forte">
    <w:name w:val="Strong"/>
    <w:basedOn w:val="Fontepargpadro"/>
    <w:uiPriority w:val="22"/>
    <w:qFormat/>
    <w:rsid w:val="00B26B86"/>
    <w:rPr>
      <w:b/>
      <w:bCs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1F66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1F66A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66A6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F66A6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F66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2087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Andréia Bonavigo</cp:lastModifiedBy>
  <cp:revision>3</cp:revision>
  <dcterms:created xsi:type="dcterms:W3CDTF">2016-09-21T02:27:00Z</dcterms:created>
  <dcterms:modified xsi:type="dcterms:W3CDTF">2016-09-21T12:31:00Z</dcterms:modified>
</cp:coreProperties>
</file>